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CD" w:rsidRPr="00B943CD" w:rsidRDefault="00B943CD" w:rsidP="000C4456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Times New Roman"/>
          <w:i/>
          <w:iCs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i/>
          <w:iCs/>
          <w:color w:val="42536A"/>
          <w:sz w:val="28"/>
          <w:szCs w:val="24"/>
          <w:lang w:eastAsia="ru-RU"/>
        </w:rPr>
        <w:t>Как влияет на детей и подростков многочасовое сидение за компьютером?</w:t>
      </w:r>
    </w:p>
    <w:p w:rsidR="00B943CD" w:rsidRPr="00B943CD" w:rsidRDefault="00B943CD" w:rsidP="000C445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noProof/>
          <w:color w:val="42536A"/>
          <w:sz w:val="28"/>
          <w:szCs w:val="24"/>
          <w:lang w:eastAsia="ru-RU"/>
        </w:rPr>
        <w:drawing>
          <wp:inline distT="0" distB="0" distL="0" distR="0" wp14:anchorId="25F34BD5" wp14:editId="10102443">
            <wp:extent cx="2381250" cy="1885950"/>
            <wp:effectExtent l="0" t="0" r="0" b="0"/>
            <wp:docPr id="2" name="Рисунок 2" descr="http://detionline.com/assets/images/consult/be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online.com/assets/images/consult/bea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3CD" w:rsidRPr="00B943CD" w:rsidRDefault="00B943CD" w:rsidP="000C445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В целом статичное поддержание одной позы может причинить определенный вред здоровью. Общими проблемами со здоровьем, связанными с использованием компьютера, могут быть:</w:t>
      </w:r>
    </w:p>
    <w:p w:rsidR="00B943CD" w:rsidRPr="00B943CD" w:rsidRDefault="00B943CD" w:rsidP="000C445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Нарушения опорно-двигательного аппарата:</w:t>
      </w:r>
    </w:p>
    <w:p w:rsidR="00B943CD" w:rsidRPr="00B943CD" w:rsidRDefault="00B943CD" w:rsidP="000C4456">
      <w:pPr>
        <w:numPr>
          <w:ilvl w:val="1"/>
          <w:numId w:val="1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поражения позвоночника — нарушение осанки, сколиоз;</w:t>
      </w:r>
    </w:p>
    <w:p w:rsidR="00B943CD" w:rsidRPr="00B943CD" w:rsidRDefault="00B943CD" w:rsidP="000C4456">
      <w:pPr>
        <w:numPr>
          <w:ilvl w:val="1"/>
          <w:numId w:val="1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поражения лучезапястного сустава — туннельный синдром, артрозы;</w:t>
      </w:r>
    </w:p>
    <w:p w:rsidR="00B943CD" w:rsidRPr="00B943CD" w:rsidRDefault="00B943CD" w:rsidP="000C445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 xml:space="preserve">«Компьютерный зрительный синдром» (КЗС, </w:t>
      </w:r>
      <w:proofErr w:type="spellStart"/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Computer</w:t>
      </w:r>
      <w:proofErr w:type="spellEnd"/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 xml:space="preserve"> </w:t>
      </w:r>
      <w:proofErr w:type="spellStart"/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Vision</w:t>
      </w:r>
      <w:proofErr w:type="spellEnd"/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 xml:space="preserve"> </w:t>
      </w:r>
      <w:proofErr w:type="spellStart"/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Syndrome</w:t>
      </w:r>
      <w:proofErr w:type="spellEnd"/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) — «комплекс зрительных и глазных симптомов, проявляющихся при работе с компьютером»;</w:t>
      </w:r>
    </w:p>
    <w:p w:rsidR="00B943CD" w:rsidRPr="00B943CD" w:rsidRDefault="00B943CD" w:rsidP="000C445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Проблемы, связанные с электромагнитным излучением;</w:t>
      </w:r>
    </w:p>
    <w:p w:rsidR="00B943CD" w:rsidRPr="00B943CD" w:rsidRDefault="00B943CD" w:rsidP="000C445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Проблемы снижения слуха при увлечении компьютерными играми (у подростков)</w:t>
      </w:r>
    </w:p>
    <w:p w:rsidR="00B943CD" w:rsidRPr="00B943CD" w:rsidRDefault="00B943CD" w:rsidP="000C445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</w:pPr>
      <w:r w:rsidRPr="00B943CD">
        <w:rPr>
          <w:rFonts w:ascii="Georgia" w:eastAsia="Times New Roman" w:hAnsi="Georgia" w:cs="Times New Roman"/>
          <w:color w:val="42536A"/>
          <w:sz w:val="28"/>
          <w:szCs w:val="24"/>
          <w:lang w:eastAsia="ru-RU"/>
        </w:rPr>
        <w:t>Проблемы провокации эпилептических приступов;</w:t>
      </w:r>
    </w:p>
    <w:p w:rsidR="004E1305" w:rsidRDefault="004E1305"/>
    <w:sectPr w:rsidR="004E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200E"/>
    <w:multiLevelType w:val="multilevel"/>
    <w:tmpl w:val="0722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7"/>
    <w:rsid w:val="000C4456"/>
    <w:rsid w:val="004E1305"/>
    <w:rsid w:val="00B943CD"/>
    <w:rsid w:val="00C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280C-4818-45D8-983F-E2BE8F9D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2017-06-19T15:26:00Z</dcterms:created>
  <dcterms:modified xsi:type="dcterms:W3CDTF">2017-06-19T15:27:00Z</dcterms:modified>
</cp:coreProperties>
</file>